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jc w:val="center"/>
        <w:rPr>
          <w:rFonts w:asci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佛山市顺德区市政业协会优秀会员评选考核表</w:t>
      </w:r>
    </w:p>
    <w:p>
      <w:pPr>
        <w:shd w:val="solid" w:color="FFFFFF" w:fill="auto"/>
        <w:autoSpaceDN w:val="0"/>
        <w:snapToGrid w:val="0"/>
        <w:spacing w:line="240" w:lineRule="auto"/>
        <w:jc w:val="center"/>
        <w:rPr>
          <w:rFonts w:ascii="宋体" w:cs="宋体"/>
          <w:b w:val="0"/>
          <w:bCs w:val="0"/>
          <w:kern w:val="0"/>
          <w:sz w:val="18"/>
          <w:szCs w:val="18"/>
        </w:rPr>
      </w:pPr>
    </w:p>
    <w:p>
      <w:pPr>
        <w:shd w:val="solid" w:color="FFFFFF" w:fill="auto"/>
        <w:autoSpaceDN w:val="0"/>
        <w:snapToGrid w:val="0"/>
        <w:jc w:val="center"/>
        <w:rPr>
          <w:rFonts w:ascii="宋体" w:cs="宋体"/>
          <w:b/>
          <w:bCs/>
          <w:kern w:val="0"/>
          <w:sz w:val="18"/>
          <w:szCs w:val="18"/>
        </w:rPr>
      </w:pPr>
    </w:p>
    <w:p>
      <w:pPr>
        <w:shd w:val="solid" w:color="FFFFFF" w:fill="auto"/>
        <w:autoSpaceDN w:val="0"/>
        <w:snapToGrid w:val="0"/>
        <w:spacing w:line="360" w:lineRule="auto"/>
        <w:ind w:right="-176" w:rightChars="-84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申报单位（盖章）：</w:t>
      </w:r>
    </w:p>
    <w:tbl>
      <w:tblPr>
        <w:tblStyle w:val="5"/>
        <w:tblW w:w="14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959"/>
        <w:gridCol w:w="859"/>
        <w:gridCol w:w="5063"/>
        <w:gridCol w:w="628"/>
        <w:gridCol w:w="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3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595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85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5063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628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627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管理有序</w:t>
            </w:r>
          </w:p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稳定和谐</w:t>
            </w:r>
          </w:p>
        </w:tc>
        <w:tc>
          <w:tcPr>
            <w:tcW w:w="5959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-2016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年期间未发生各类有责事故；未发生职工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集体上访事件；未受到当地媒体不良事件曝光批评。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一票否决指标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提供相关部门的证明材料（如：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行业主管部门的通报文件；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媒体不良事件曝光；也可由机构自身作自我声明，但必须要加盖法人章及经办人签字。）此项不符合要求，则取消申报资格。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39" w:type="dxa"/>
            <w:vAlign w:val="center"/>
          </w:tcPr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遵纪守法</w:t>
            </w:r>
          </w:p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诚信经营</w:t>
            </w:r>
          </w:p>
        </w:tc>
        <w:tc>
          <w:tcPr>
            <w:tcW w:w="5959" w:type="dxa"/>
            <w:shd w:val="clear" w:color="auto" w:fill="FFFFFF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认真贯彻执行国家有关政策、法律和法规，标准和规范，无不良行为记录，诚信经营、有良好的社会声誉。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提供相关证明材料，可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由上级主管部门出具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证明材料。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shd w:val="clear" w:color="auto" w:fill="FFFFFF"/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制度先进</w:t>
            </w:r>
          </w:p>
          <w:p>
            <w:pPr>
              <w:shd w:val="clear" w:color="auto" w:fill="FFFFFF"/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运行有效</w:t>
            </w:r>
          </w:p>
        </w:tc>
        <w:tc>
          <w:tcPr>
            <w:tcW w:w="5959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企业基础管理工作扎实，制度健全，职责明确；各项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规章制度严谨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健全，职工队伍稳定。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提供组织机构架构图以及各项管理制度目录。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热心公益</w:t>
            </w:r>
          </w:p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服务社会</w:t>
            </w:r>
          </w:p>
        </w:tc>
        <w:tc>
          <w:tcPr>
            <w:tcW w:w="5959" w:type="dxa"/>
            <w:shd w:val="clear" w:color="auto" w:fill="FFFFFF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-2016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年期间积极参加各类社会公益活动，取得显著社会效益。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提供相关文件、照片、报道、证书等证明资料。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模范带头</w:t>
            </w:r>
          </w:p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成绩显著</w:t>
            </w:r>
          </w:p>
        </w:tc>
        <w:tc>
          <w:tcPr>
            <w:tcW w:w="5959" w:type="dxa"/>
            <w:shd w:val="clear" w:color="auto" w:fill="FFFFFF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在行业的改革与发展中贡献突出，能够自觉维护行业的社会形象，在行业内起到模范带头作用。</w:t>
            </w:r>
          </w:p>
        </w:tc>
        <w:tc>
          <w:tcPr>
            <w:tcW w:w="859" w:type="dxa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-2016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年期间相关行业协会、主管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部门颁发的获奖文件及获奖证书。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39" w:type="dxa"/>
            <w:vMerge w:val="restart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shd w:val="clear" w:color="auto" w:fill="FFFFFF"/>
              </w:rPr>
              <w:t>企业人员满足资质标准</w:t>
            </w:r>
          </w:p>
          <w:p>
            <w:pPr>
              <w:autoSpaceDN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5959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企业人员达到相应企业资质或等级标准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并依法为企业员工购买社保。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市政施工行业（建筑业企业资质），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环卫、垃圾处理行业（环卫服务企业等级），燃气行业（经营服务许可证），供水（相应制度要求），污水企业（环境污染治理设施运营证）</w:t>
            </w:r>
          </w:p>
        </w:tc>
        <w:tc>
          <w:tcPr>
            <w:tcW w:w="859" w:type="dxa"/>
            <w:vMerge w:val="restart"/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15</w:t>
            </w:r>
          </w:p>
        </w:tc>
        <w:tc>
          <w:tcPr>
            <w:tcW w:w="5063" w:type="dxa"/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持证人员满足相应企业资质或等级标准的，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分。提供持证人员相关证书的复印件。</w:t>
            </w:r>
          </w:p>
        </w:tc>
        <w:tc>
          <w:tcPr>
            <w:tcW w:w="628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9" w:type="dxa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959" w:type="dxa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9" w:type="dxa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506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依法与企业人员签订劳动合同，按照规定为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员工投保，得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分。提供企业工程技术人员的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社保证明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  <w:tc>
          <w:tcPr>
            <w:tcW w:w="628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2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highlight w:val="yellow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napToGrid w:val="0"/>
        <w:spacing w:line="240" w:lineRule="auto"/>
        <w:jc w:val="center"/>
      </w:pPr>
      <w:r>
        <w:br w:type="page"/>
      </w:r>
    </w:p>
    <w:p>
      <w:pPr>
        <w:shd w:val="solid" w:color="FFFFFF" w:fill="auto"/>
        <w:autoSpaceDN w:val="0"/>
        <w:snapToGrid w:val="0"/>
        <w:jc w:val="center"/>
        <w:rPr>
          <w:rFonts w:asci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佛山市顺德区市政业协会优秀会员评选考核表</w:t>
      </w:r>
    </w:p>
    <w:p>
      <w:pPr>
        <w:shd w:val="solid" w:color="FFFFFF" w:fill="auto"/>
        <w:autoSpaceDN w:val="0"/>
        <w:snapToGrid w:val="0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（续表）</w:t>
      </w:r>
    </w:p>
    <w:p>
      <w:pPr>
        <w:shd w:val="solid" w:color="FFFFFF" w:fill="auto"/>
        <w:autoSpaceDN w:val="0"/>
        <w:snapToGrid w:val="0"/>
        <w:spacing w:line="240" w:lineRule="auto"/>
        <w:jc w:val="center"/>
        <w:rPr>
          <w:rFonts w:hint="eastAsia" w:ascii="宋体" w:hAnsi="宋体" w:cs="宋体"/>
          <w:b w:val="0"/>
          <w:bCs w:val="0"/>
          <w:kern w:val="0"/>
          <w:sz w:val="18"/>
          <w:szCs w:val="18"/>
        </w:rPr>
      </w:pPr>
    </w:p>
    <w:tbl>
      <w:tblPr>
        <w:tblStyle w:val="5"/>
        <w:tblW w:w="14432" w:type="dxa"/>
        <w:jc w:val="center"/>
        <w:tblInd w:w="-1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5269"/>
        <w:gridCol w:w="3853"/>
        <w:gridCol w:w="2745"/>
        <w:gridCol w:w="590"/>
        <w:gridCol w:w="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23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526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3853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2745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590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652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23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积极支持本协会</w:t>
            </w:r>
            <w:r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FFFFFF"/>
              </w:rPr>
              <w:t>工作</w:t>
            </w:r>
          </w:p>
          <w:p>
            <w:pPr>
              <w:autoSpaceDN w:val="0"/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9" w:type="dxa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热爱协会，关心行业发展，积极参与协会组织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举办的各项培训学习、交流、会议等活动。</w:t>
            </w:r>
          </w:p>
        </w:tc>
        <w:tc>
          <w:tcPr>
            <w:tcW w:w="3853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autoSpaceDN w:val="0"/>
              <w:snapToGrid w:val="0"/>
              <w:spacing w:line="276" w:lineRule="auto"/>
              <w:jc w:val="both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提供参加本协会活动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资料以及支持协会公益活动经费的汇款凭单。</w:t>
            </w:r>
          </w:p>
        </w:tc>
        <w:tc>
          <w:tcPr>
            <w:tcW w:w="59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23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9" w:type="dxa"/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遵守《顺德区市政业协会章程》，履行会员义务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按时缴纳协会会员会费。</w:t>
            </w:r>
          </w:p>
        </w:tc>
        <w:tc>
          <w:tcPr>
            <w:tcW w:w="3853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69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在协会举办的各项活动中表现突出，近两年连续支持协会公益活动经费或对协会有特殊贡献的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会员企业。</w:t>
            </w:r>
          </w:p>
        </w:tc>
        <w:tc>
          <w:tcPr>
            <w:tcW w:w="3853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近两年连续支持协会公益活动经费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元（含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元）以上得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分；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5000-10000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元（含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5000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元）得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分；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3000-5000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（含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3000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元）元以下得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分；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3000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元以下得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shd w:val="clear" w:color="auto" w:fill="FFFFFF"/>
              </w:rPr>
              <w:t>分。</w:t>
            </w:r>
          </w:p>
        </w:tc>
        <w:tc>
          <w:tcPr>
            <w:tcW w:w="274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0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tabs>
          <w:tab w:val="center" w:pos="6979"/>
        </w:tabs>
        <w:autoSpaceDN w:val="0"/>
        <w:snapToGrid w:val="0"/>
        <w:spacing w:line="240" w:lineRule="auto"/>
        <w:rPr>
          <w:rFonts w:hint="eastAsia" w:ascii="仿宋" w:hAnsi="仿宋" w:eastAsia="仿宋"/>
          <w:sz w:val="18"/>
          <w:szCs w:val="18"/>
          <w:shd w:val="clear" w:color="auto" w:fill="FFFFFF"/>
        </w:rPr>
      </w:pPr>
    </w:p>
    <w:p>
      <w:pPr>
        <w:shd w:val="solid" w:color="FFFFFF" w:fill="auto"/>
        <w:tabs>
          <w:tab w:val="center" w:pos="6979"/>
        </w:tabs>
        <w:autoSpaceDN w:val="0"/>
        <w:snapToGrid w:val="0"/>
        <w:spacing w:line="360" w:lineRule="exac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</w:t>
      </w:r>
      <w:r>
        <w:rPr>
          <w:rFonts w:ascii="仿宋" w:hAnsi="仿宋" w:eastAsia="仿宋"/>
          <w:sz w:val="24"/>
          <w:szCs w:val="24"/>
          <w:shd w:val="clear" w:color="auto" w:fill="FFFFFF"/>
        </w:rPr>
        <w:t>1.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优秀会员名额为本协会会员单位数量的</w:t>
      </w:r>
      <w:r>
        <w:rPr>
          <w:rFonts w:ascii="仿宋" w:hAnsi="仿宋" w:eastAsia="仿宋"/>
          <w:sz w:val="24"/>
          <w:szCs w:val="24"/>
          <w:shd w:val="clear" w:color="auto" w:fill="FFFFFF"/>
        </w:rPr>
        <w:t>30%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，按分值排序选取。</w:t>
      </w:r>
      <w:r>
        <w:rPr>
          <w:rFonts w:ascii="仿宋" w:hAnsi="仿宋" w:eastAsia="仿宋"/>
          <w:sz w:val="24"/>
          <w:szCs w:val="24"/>
          <w:shd w:val="clear" w:color="auto" w:fill="FFFFFF"/>
        </w:rPr>
        <w:tab/>
      </w: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 xml:space="preserve">    </w:t>
      </w:r>
      <w:bookmarkStart w:id="1" w:name="_GoBack"/>
      <w:bookmarkEnd w:id="1"/>
      <w:r>
        <w:rPr>
          <w:rFonts w:ascii="仿宋" w:hAnsi="仿宋" w:eastAsia="仿宋"/>
          <w:sz w:val="24"/>
          <w:szCs w:val="24"/>
          <w:shd w:val="clear" w:color="auto" w:fill="FFFFFF"/>
        </w:rPr>
        <w:t>2.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积极开展各类活动、积极支持本协会工作：参与的项目越多，分值越高。</w:t>
      </w: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szCs w:val="21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szCs w:val="21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sz w:val="36"/>
          <w:szCs w:val="36"/>
          <w:shd w:val="clear" w:color="auto" w:fill="FFFFFF"/>
        </w:rPr>
        <w:t>申报单位合计得分：</w:t>
      </w:r>
      <w:r>
        <w:rPr>
          <w:rFonts w:ascii="仿宋" w:hAnsi="仿宋" w:eastAsia="仿宋"/>
          <w:b/>
          <w:sz w:val="36"/>
          <w:szCs w:val="36"/>
          <w:shd w:val="clear" w:color="auto" w:fill="FFFFFF"/>
        </w:rPr>
        <w:t xml:space="preserve">                            </w:t>
      </w:r>
      <w:r>
        <w:rPr>
          <w:rFonts w:hint="eastAsia" w:ascii="仿宋" w:hAnsi="仿宋" w:eastAsia="仿宋"/>
          <w:b/>
          <w:sz w:val="36"/>
          <w:szCs w:val="36"/>
          <w:shd w:val="clear" w:color="auto" w:fill="FFFFFF"/>
        </w:rPr>
        <w:t>协会意见：</w:t>
      </w: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sz w:val="36"/>
          <w:szCs w:val="36"/>
          <w:shd w:val="clear" w:color="auto" w:fill="FFFFFF"/>
        </w:rPr>
        <w:t>评审组成员签字：</w:t>
      </w:r>
      <w:r>
        <w:rPr>
          <w:rFonts w:ascii="仿宋" w:hAnsi="仿宋" w:eastAsia="仿宋"/>
          <w:b/>
          <w:sz w:val="36"/>
          <w:szCs w:val="36"/>
          <w:shd w:val="clear" w:color="auto" w:fill="FFFFFF"/>
        </w:rPr>
        <w:t xml:space="preserve">                              </w:t>
      </w:r>
      <w:r>
        <w:rPr>
          <w:rFonts w:hint="eastAsia" w:ascii="仿宋" w:hAnsi="仿宋" w:eastAsia="仿宋"/>
          <w:b/>
          <w:sz w:val="36"/>
          <w:szCs w:val="36"/>
          <w:shd w:val="clear" w:color="auto" w:fill="FFFFFF"/>
        </w:rPr>
        <w:t>日</w:t>
      </w:r>
      <w:r>
        <w:rPr>
          <w:rFonts w:ascii="仿宋" w:hAnsi="仿宋" w:eastAsia="仿宋"/>
          <w:b/>
          <w:sz w:val="36"/>
          <w:szCs w:val="36"/>
          <w:shd w:val="clear" w:color="auto" w:fill="FFFFFF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  <w:shd w:val="clear" w:color="auto" w:fill="FFFFFF"/>
        </w:rPr>
        <w:t>期：</w:t>
      </w:r>
    </w:p>
    <w:p>
      <w:pPr>
        <w:shd w:val="solid" w:color="FFFFFF" w:fill="auto"/>
        <w:autoSpaceDN w:val="0"/>
        <w:snapToGrid w:val="0"/>
        <w:spacing w:line="360" w:lineRule="exact"/>
        <w:ind w:firstLine="420"/>
      </w:pPr>
    </w:p>
    <w:sectPr>
      <w:footerReference r:id="rId3" w:type="default"/>
      <w:footerReference r:id="rId4" w:type="even"/>
      <w:pgSz w:w="16838" w:h="11906" w:orient="landscape"/>
      <w:pgMar w:top="1134" w:right="1440" w:bottom="1134" w:left="1440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6A4"/>
    <w:rsid w:val="00002C39"/>
    <w:rsid w:val="00007FC4"/>
    <w:rsid w:val="0002068D"/>
    <w:rsid w:val="000351B6"/>
    <w:rsid w:val="00063483"/>
    <w:rsid w:val="00063A63"/>
    <w:rsid w:val="0007225E"/>
    <w:rsid w:val="00087C58"/>
    <w:rsid w:val="000A1278"/>
    <w:rsid w:val="000A2ECF"/>
    <w:rsid w:val="000B7D54"/>
    <w:rsid w:val="000D0A19"/>
    <w:rsid w:val="000D1AF0"/>
    <w:rsid w:val="000E0CEA"/>
    <w:rsid w:val="000F5DFC"/>
    <w:rsid w:val="00100F51"/>
    <w:rsid w:val="001042C0"/>
    <w:rsid w:val="00104567"/>
    <w:rsid w:val="001115E3"/>
    <w:rsid w:val="001361AF"/>
    <w:rsid w:val="00151998"/>
    <w:rsid w:val="0016652B"/>
    <w:rsid w:val="00171B35"/>
    <w:rsid w:val="001837C1"/>
    <w:rsid w:val="001D30A0"/>
    <w:rsid w:val="001D72C1"/>
    <w:rsid w:val="001E563D"/>
    <w:rsid w:val="001F0D21"/>
    <w:rsid w:val="00234B04"/>
    <w:rsid w:val="00243C65"/>
    <w:rsid w:val="00257273"/>
    <w:rsid w:val="0026142F"/>
    <w:rsid w:val="00280F21"/>
    <w:rsid w:val="00282C73"/>
    <w:rsid w:val="002A160A"/>
    <w:rsid w:val="002B16BF"/>
    <w:rsid w:val="002E2218"/>
    <w:rsid w:val="00313699"/>
    <w:rsid w:val="00314E37"/>
    <w:rsid w:val="0031526B"/>
    <w:rsid w:val="00316BA5"/>
    <w:rsid w:val="00326F7E"/>
    <w:rsid w:val="0034130D"/>
    <w:rsid w:val="00375B3A"/>
    <w:rsid w:val="003A0ED7"/>
    <w:rsid w:val="003A2CAD"/>
    <w:rsid w:val="003A40BA"/>
    <w:rsid w:val="003A5409"/>
    <w:rsid w:val="003D2F96"/>
    <w:rsid w:val="003E1E48"/>
    <w:rsid w:val="003E3F18"/>
    <w:rsid w:val="004133AE"/>
    <w:rsid w:val="004221C7"/>
    <w:rsid w:val="0044644C"/>
    <w:rsid w:val="00453A6E"/>
    <w:rsid w:val="00455028"/>
    <w:rsid w:val="0046572D"/>
    <w:rsid w:val="0048356B"/>
    <w:rsid w:val="004846C0"/>
    <w:rsid w:val="00484D80"/>
    <w:rsid w:val="004865BF"/>
    <w:rsid w:val="004920CA"/>
    <w:rsid w:val="00494754"/>
    <w:rsid w:val="004B7F26"/>
    <w:rsid w:val="004C1EFD"/>
    <w:rsid w:val="004C729E"/>
    <w:rsid w:val="004C7CEE"/>
    <w:rsid w:val="004D1F6B"/>
    <w:rsid w:val="00515558"/>
    <w:rsid w:val="00530A2B"/>
    <w:rsid w:val="00533389"/>
    <w:rsid w:val="00533723"/>
    <w:rsid w:val="005476FE"/>
    <w:rsid w:val="00563F75"/>
    <w:rsid w:val="00566CE6"/>
    <w:rsid w:val="00596B75"/>
    <w:rsid w:val="005C3CAC"/>
    <w:rsid w:val="005F1444"/>
    <w:rsid w:val="005F1FBB"/>
    <w:rsid w:val="005F4E39"/>
    <w:rsid w:val="00614CFF"/>
    <w:rsid w:val="00632B24"/>
    <w:rsid w:val="006356A4"/>
    <w:rsid w:val="00645A0F"/>
    <w:rsid w:val="00657F73"/>
    <w:rsid w:val="00693215"/>
    <w:rsid w:val="00696CB2"/>
    <w:rsid w:val="006A0A14"/>
    <w:rsid w:val="006C2E30"/>
    <w:rsid w:val="006D0EA0"/>
    <w:rsid w:val="006D7D86"/>
    <w:rsid w:val="006E6517"/>
    <w:rsid w:val="006E6FF0"/>
    <w:rsid w:val="006F17C1"/>
    <w:rsid w:val="007046E2"/>
    <w:rsid w:val="00714615"/>
    <w:rsid w:val="00715758"/>
    <w:rsid w:val="007212B0"/>
    <w:rsid w:val="007314FA"/>
    <w:rsid w:val="00731E77"/>
    <w:rsid w:val="007517D3"/>
    <w:rsid w:val="00753791"/>
    <w:rsid w:val="00763D4F"/>
    <w:rsid w:val="007A477A"/>
    <w:rsid w:val="007C20D5"/>
    <w:rsid w:val="007C67C4"/>
    <w:rsid w:val="007E39E1"/>
    <w:rsid w:val="007E5ECA"/>
    <w:rsid w:val="007E6077"/>
    <w:rsid w:val="007E68CD"/>
    <w:rsid w:val="007F2339"/>
    <w:rsid w:val="00802892"/>
    <w:rsid w:val="00804F5B"/>
    <w:rsid w:val="0082056C"/>
    <w:rsid w:val="00831EB0"/>
    <w:rsid w:val="00891BCC"/>
    <w:rsid w:val="008A5369"/>
    <w:rsid w:val="008C075C"/>
    <w:rsid w:val="008F2C49"/>
    <w:rsid w:val="00914E47"/>
    <w:rsid w:val="00921DCC"/>
    <w:rsid w:val="009227D5"/>
    <w:rsid w:val="00940E14"/>
    <w:rsid w:val="00964F3E"/>
    <w:rsid w:val="00997E48"/>
    <w:rsid w:val="009A2F2D"/>
    <w:rsid w:val="009A7A29"/>
    <w:rsid w:val="009C2163"/>
    <w:rsid w:val="009D7264"/>
    <w:rsid w:val="009E1740"/>
    <w:rsid w:val="009E1B9A"/>
    <w:rsid w:val="00A311FF"/>
    <w:rsid w:val="00A36478"/>
    <w:rsid w:val="00A55712"/>
    <w:rsid w:val="00A61401"/>
    <w:rsid w:val="00AD3649"/>
    <w:rsid w:val="00AE33F3"/>
    <w:rsid w:val="00AE3764"/>
    <w:rsid w:val="00AF2F80"/>
    <w:rsid w:val="00B002D0"/>
    <w:rsid w:val="00B16A9A"/>
    <w:rsid w:val="00B213E1"/>
    <w:rsid w:val="00B453A1"/>
    <w:rsid w:val="00B51CC5"/>
    <w:rsid w:val="00B72BC8"/>
    <w:rsid w:val="00B737FE"/>
    <w:rsid w:val="00BC098D"/>
    <w:rsid w:val="00BC3784"/>
    <w:rsid w:val="00BD55FF"/>
    <w:rsid w:val="00BE39A5"/>
    <w:rsid w:val="00BE4765"/>
    <w:rsid w:val="00BF4573"/>
    <w:rsid w:val="00C30889"/>
    <w:rsid w:val="00C36A8D"/>
    <w:rsid w:val="00C565E3"/>
    <w:rsid w:val="00C719D5"/>
    <w:rsid w:val="00C8173B"/>
    <w:rsid w:val="00C81F19"/>
    <w:rsid w:val="00C87F32"/>
    <w:rsid w:val="00C9147D"/>
    <w:rsid w:val="00CA1660"/>
    <w:rsid w:val="00CC2081"/>
    <w:rsid w:val="00D31249"/>
    <w:rsid w:val="00D350FA"/>
    <w:rsid w:val="00D55BB9"/>
    <w:rsid w:val="00D63E25"/>
    <w:rsid w:val="00DA7D6E"/>
    <w:rsid w:val="00DB02DA"/>
    <w:rsid w:val="00DC3ACD"/>
    <w:rsid w:val="00DD4088"/>
    <w:rsid w:val="00DE3BA4"/>
    <w:rsid w:val="00E0573B"/>
    <w:rsid w:val="00E11A73"/>
    <w:rsid w:val="00E11D05"/>
    <w:rsid w:val="00E23016"/>
    <w:rsid w:val="00E47F1A"/>
    <w:rsid w:val="00E76E6C"/>
    <w:rsid w:val="00E8472A"/>
    <w:rsid w:val="00E847D1"/>
    <w:rsid w:val="00EA73B6"/>
    <w:rsid w:val="00ED672C"/>
    <w:rsid w:val="00ED6AF6"/>
    <w:rsid w:val="00EE75D8"/>
    <w:rsid w:val="00EE78AD"/>
    <w:rsid w:val="00F01409"/>
    <w:rsid w:val="00F217B4"/>
    <w:rsid w:val="00F311C2"/>
    <w:rsid w:val="00F64DEE"/>
    <w:rsid w:val="00F80018"/>
    <w:rsid w:val="00F87895"/>
    <w:rsid w:val="00F92455"/>
    <w:rsid w:val="00F941A4"/>
    <w:rsid w:val="00FD30CB"/>
    <w:rsid w:val="00FD6371"/>
    <w:rsid w:val="00FE318F"/>
    <w:rsid w:val="00FE38BC"/>
    <w:rsid w:val="00FF7C74"/>
    <w:rsid w:val="00FF7E77"/>
    <w:rsid w:val="021026C2"/>
    <w:rsid w:val="034918A3"/>
    <w:rsid w:val="037765A9"/>
    <w:rsid w:val="07995528"/>
    <w:rsid w:val="08A33286"/>
    <w:rsid w:val="08C0720C"/>
    <w:rsid w:val="08CE4CA8"/>
    <w:rsid w:val="0B525EC8"/>
    <w:rsid w:val="0F4945E1"/>
    <w:rsid w:val="0F94273C"/>
    <w:rsid w:val="11063718"/>
    <w:rsid w:val="11AF77B3"/>
    <w:rsid w:val="14170EE9"/>
    <w:rsid w:val="14E138E1"/>
    <w:rsid w:val="15675E03"/>
    <w:rsid w:val="19842DFC"/>
    <w:rsid w:val="1AD96497"/>
    <w:rsid w:val="1B1D2983"/>
    <w:rsid w:val="1C1D312D"/>
    <w:rsid w:val="1C403512"/>
    <w:rsid w:val="1E3776D9"/>
    <w:rsid w:val="20BD0957"/>
    <w:rsid w:val="21490C3A"/>
    <w:rsid w:val="230C43F9"/>
    <w:rsid w:val="23210A21"/>
    <w:rsid w:val="242C5363"/>
    <w:rsid w:val="24583C12"/>
    <w:rsid w:val="25091FA0"/>
    <w:rsid w:val="253C7C10"/>
    <w:rsid w:val="26292641"/>
    <w:rsid w:val="2638331B"/>
    <w:rsid w:val="2A5333DC"/>
    <w:rsid w:val="2ED75FB1"/>
    <w:rsid w:val="2F7D6790"/>
    <w:rsid w:val="30A66243"/>
    <w:rsid w:val="31DE05A3"/>
    <w:rsid w:val="339164C1"/>
    <w:rsid w:val="397D7D49"/>
    <w:rsid w:val="3A282FF6"/>
    <w:rsid w:val="3D6F1ACD"/>
    <w:rsid w:val="3E863B4A"/>
    <w:rsid w:val="3EEB5FB9"/>
    <w:rsid w:val="3F1F7BEE"/>
    <w:rsid w:val="404E3F51"/>
    <w:rsid w:val="40A3586E"/>
    <w:rsid w:val="41F32FAE"/>
    <w:rsid w:val="42436A68"/>
    <w:rsid w:val="457618D2"/>
    <w:rsid w:val="4673594A"/>
    <w:rsid w:val="46744460"/>
    <w:rsid w:val="47726D74"/>
    <w:rsid w:val="481113C2"/>
    <w:rsid w:val="485248A1"/>
    <w:rsid w:val="4A723CB2"/>
    <w:rsid w:val="4AC6683B"/>
    <w:rsid w:val="4C88590E"/>
    <w:rsid w:val="4D5671CA"/>
    <w:rsid w:val="4E2E0E0A"/>
    <w:rsid w:val="55960263"/>
    <w:rsid w:val="567043B0"/>
    <w:rsid w:val="58EC0F2F"/>
    <w:rsid w:val="59941352"/>
    <w:rsid w:val="5A496E81"/>
    <w:rsid w:val="5A8D121F"/>
    <w:rsid w:val="5EC603DE"/>
    <w:rsid w:val="5FB3246D"/>
    <w:rsid w:val="62CC136F"/>
    <w:rsid w:val="62D30020"/>
    <w:rsid w:val="658E6411"/>
    <w:rsid w:val="65D02F2D"/>
    <w:rsid w:val="661D0196"/>
    <w:rsid w:val="670178BD"/>
    <w:rsid w:val="679655D2"/>
    <w:rsid w:val="68C92F5E"/>
    <w:rsid w:val="6CFB7EF8"/>
    <w:rsid w:val="6DBE72B2"/>
    <w:rsid w:val="6E1E2368"/>
    <w:rsid w:val="6E2D0090"/>
    <w:rsid w:val="6E805827"/>
    <w:rsid w:val="6E966B9D"/>
    <w:rsid w:val="734A08E3"/>
    <w:rsid w:val="756B7E7E"/>
    <w:rsid w:val="767321E6"/>
    <w:rsid w:val="76B87470"/>
    <w:rsid w:val="76F91558"/>
    <w:rsid w:val="78735A2F"/>
    <w:rsid w:val="7C167427"/>
    <w:rsid w:val="7D0F1FFC"/>
    <w:rsid w:val="7D2D2689"/>
    <w:rsid w:val="7D4A5265"/>
    <w:rsid w:val="7D645F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sz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194</Words>
  <Characters>1106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2016-01-06T15:13:00Z</dcterms:created>
  <dc:creator>微软用户</dc:creator>
  <cp:lastModifiedBy>Administrator</cp:lastModifiedBy>
  <cp:lastPrinted>2016-10-15T03:44:00Z</cp:lastPrinted>
  <dcterms:modified xsi:type="dcterms:W3CDTF">2016-11-15T06:48:37Z</dcterms:modified>
  <dc:title>广东省市政行业协会先进单位评选办法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